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A46BA" w14:textId="0DEB2AEC" w:rsidR="002A014B" w:rsidRDefault="002A014B" w:rsidP="002A014B">
      <w:pPr>
        <w:pStyle w:val="Preformattato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 DA INSERIRE NELLA PREMESSA</w:t>
      </w:r>
    </w:p>
    <w:p w14:paraId="63301510" w14:textId="77777777" w:rsidR="002A014B" w:rsidRDefault="002A014B" w:rsidP="005939CE">
      <w:pPr>
        <w:pStyle w:val="Preformattato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501E88" w14:textId="77777777" w:rsidR="002A014B" w:rsidRDefault="002A014B" w:rsidP="005939CE">
      <w:pPr>
        <w:pStyle w:val="Preformattato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1C5B61" w14:textId="46A50225" w:rsidR="008939DB" w:rsidRPr="005939CE" w:rsidRDefault="008939DB" w:rsidP="005939CE">
      <w:pPr>
        <w:pStyle w:val="Preformattato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Visto</w:t>
      </w:r>
      <w:r w:rsidRPr="005939CE">
        <w:rPr>
          <w:rFonts w:ascii="Times New Roman" w:hAnsi="Times New Roman" w:cs="Times New Roman"/>
          <w:color w:val="000000"/>
          <w:sz w:val="24"/>
          <w:szCs w:val="24"/>
        </w:rPr>
        <w:t xml:space="preserve"> il </w:t>
      </w:r>
      <w:proofErr w:type="gramStart"/>
      <w:r w:rsidRPr="005939CE">
        <w:rPr>
          <w:rFonts w:ascii="Times New Roman" w:hAnsi="Times New Roman" w:cs="Times New Roman"/>
          <w:color w:val="000000"/>
          <w:sz w:val="24"/>
          <w:szCs w:val="24"/>
        </w:rPr>
        <w:t>decreto legge</w:t>
      </w:r>
      <w:proofErr w:type="gramEnd"/>
      <w:r w:rsidRPr="005939CE">
        <w:rPr>
          <w:rFonts w:ascii="Times New Roman" w:hAnsi="Times New Roman" w:cs="Times New Roman"/>
          <w:color w:val="000000"/>
          <w:sz w:val="24"/>
          <w:szCs w:val="24"/>
        </w:rPr>
        <w:t xml:space="preserve"> n. 34/2020 convertito con modificazioni dalla Legge 77/2020, il quale all’art. 106 comma 3bis dispone che per l'esercizio 2021 il termine per la </w:t>
      </w:r>
      <w:r w:rsidRPr="004448CF">
        <w:rPr>
          <w:rFonts w:ascii="Times New Roman" w:hAnsi="Times New Roman" w:cs="Times New Roman"/>
          <w:color w:val="000000"/>
          <w:sz w:val="24"/>
          <w:szCs w:val="24"/>
        </w:rPr>
        <w:t>deliberazione del bilancio di previsione di cui all'articolo 151,</w:t>
      </w:r>
      <w:r w:rsidRPr="00593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8CF">
        <w:rPr>
          <w:rFonts w:ascii="Times New Roman" w:hAnsi="Times New Roman" w:cs="Times New Roman"/>
          <w:color w:val="000000"/>
          <w:sz w:val="24"/>
          <w:szCs w:val="24"/>
        </w:rPr>
        <w:t xml:space="preserve">comma 1, del decreto legislativo n. 267 del 2000 </w:t>
      </w:r>
      <w:r w:rsidRPr="005939CE">
        <w:rPr>
          <w:rFonts w:ascii="Times New Roman" w:hAnsi="Times New Roman" w:cs="Times New Roman"/>
          <w:color w:val="000000"/>
          <w:sz w:val="24"/>
          <w:szCs w:val="24"/>
        </w:rPr>
        <w:t>è</w:t>
      </w:r>
      <w:r w:rsidRPr="004448CF">
        <w:rPr>
          <w:rFonts w:ascii="Times New Roman" w:hAnsi="Times New Roman" w:cs="Times New Roman"/>
          <w:color w:val="000000"/>
          <w:sz w:val="24"/>
          <w:szCs w:val="24"/>
        </w:rPr>
        <w:t xml:space="preserve"> differito</w:t>
      </w:r>
      <w:r w:rsidRPr="00593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8CF">
        <w:rPr>
          <w:rFonts w:ascii="Times New Roman" w:hAnsi="Times New Roman" w:cs="Times New Roman"/>
          <w:color w:val="000000"/>
          <w:sz w:val="24"/>
          <w:szCs w:val="24"/>
        </w:rPr>
        <w:t>al 31 gennaio 2021"</w:t>
      </w:r>
      <w:r w:rsidRPr="005939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AFA93A" w14:textId="77777777" w:rsidR="005939CE" w:rsidRPr="005939CE" w:rsidRDefault="005939CE" w:rsidP="005939CE">
      <w:pPr>
        <w:pStyle w:val="Preformattato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53B8C" w14:textId="7C6740EC" w:rsidR="008939DB" w:rsidRDefault="008939DB" w:rsidP="00593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Considerato</w:t>
      </w:r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il Comune non ha approvato il bilancio di previsione per l’esercizio finanziario</w:t>
      </w:r>
      <w:r w:rsidRPr="005939CE">
        <w:rPr>
          <w:rFonts w:ascii="Times New Roman" w:hAnsi="Times New Roman" w:cs="Times New Roman"/>
          <w:sz w:val="24"/>
          <w:szCs w:val="24"/>
        </w:rPr>
        <w:t xml:space="preserve"> </w:t>
      </w:r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>corrente entro la data del 31 dicembre 2020, secondo quanto disposto dall’art.151, comma 1, del</w:t>
      </w:r>
      <w:r w:rsidRPr="0059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n.267/2000 e successive modificazioni ed integrazioni e quindi si trova tecnicamente in</w:t>
      </w:r>
      <w:r w:rsidRPr="005939CE">
        <w:rPr>
          <w:rFonts w:ascii="Times New Roman" w:hAnsi="Times New Roman" w:cs="Times New Roman"/>
          <w:sz w:val="24"/>
          <w:szCs w:val="24"/>
        </w:rPr>
        <w:t xml:space="preserve"> </w:t>
      </w:r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>esercizio provvisorio a partire dal 1° gennaio 2021;</w:t>
      </w:r>
    </w:p>
    <w:p w14:paraId="20328C8E" w14:textId="77777777" w:rsidR="005939CE" w:rsidRPr="005939CE" w:rsidRDefault="005939CE" w:rsidP="00593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A97E03" w14:textId="0B48A145" w:rsidR="005939CE" w:rsidRPr="005939CE" w:rsidRDefault="005939CE" w:rsidP="005939C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bookmarkStart w:id="0" w:name="_Hlk534276559"/>
      <w:r w:rsidRPr="005939CE">
        <w:rPr>
          <w:rFonts w:ascii="Times New Roman" w:hAnsi="Times New Roman" w:cs="Times New Roman"/>
          <w:b/>
          <w:bCs/>
          <w:spacing w:val="-3"/>
          <w:sz w:val="24"/>
          <w:szCs w:val="24"/>
        </w:rPr>
        <w:t>Richiamate:</w:t>
      </w:r>
    </w:p>
    <w:p w14:paraId="6C541746" w14:textId="77777777" w:rsidR="005939CE" w:rsidRPr="005939CE" w:rsidRDefault="005939CE" w:rsidP="005939CE">
      <w:pPr>
        <w:pStyle w:val="Paragrafoelenco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CE">
        <w:rPr>
          <w:rFonts w:ascii="Times New Roman" w:hAnsi="Times New Roman" w:cs="Times New Roman"/>
          <w:spacing w:val="-3"/>
          <w:sz w:val="24"/>
          <w:szCs w:val="24"/>
        </w:rPr>
        <w:t>la deliberazione del Consiglio</w:t>
      </w:r>
      <w:r w:rsidRPr="005939CE">
        <w:rPr>
          <w:rFonts w:ascii="Times New Roman" w:hAnsi="Times New Roman" w:cs="Times New Roman"/>
          <w:sz w:val="24"/>
          <w:szCs w:val="24"/>
        </w:rPr>
        <w:t xml:space="preserve"> Comunale n. 97 del 27.12.2019, avente ad oggetto “</w:t>
      </w:r>
      <w:r w:rsidRPr="005939C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939CE">
        <w:rPr>
          <w:rFonts w:ascii="Times New Roman" w:hAnsi="Times New Roman" w:cs="Times New Roman"/>
          <w:i/>
          <w:iCs/>
          <w:spacing w:val="-3"/>
          <w:sz w:val="24"/>
          <w:szCs w:val="24"/>
        </w:rPr>
        <w:t>pprovazione bilancio di previsione 2020-2022 e relativa nota integrativa, documento unico di programmazione, ed altri allegati</w:t>
      </w:r>
      <w:r w:rsidRPr="005939CE">
        <w:rPr>
          <w:rFonts w:ascii="Times New Roman" w:hAnsi="Times New Roman" w:cs="Times New Roman"/>
          <w:spacing w:val="-3"/>
          <w:sz w:val="24"/>
          <w:szCs w:val="24"/>
        </w:rPr>
        <w:t>” e successivi atti di variazione;</w:t>
      </w:r>
    </w:p>
    <w:p w14:paraId="710DBEA1" w14:textId="38D7233F" w:rsidR="005939CE" w:rsidRPr="005939CE" w:rsidRDefault="005939CE" w:rsidP="005939CE">
      <w:pPr>
        <w:pStyle w:val="Paragrafoelenco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CE">
        <w:rPr>
          <w:rFonts w:ascii="Times New Roman" w:hAnsi="Times New Roman" w:cs="Times New Roman"/>
          <w:spacing w:val="-3"/>
          <w:sz w:val="24"/>
          <w:szCs w:val="24"/>
        </w:rPr>
        <w:t>la deliberazione della Giunta</w:t>
      </w:r>
      <w:r w:rsidRPr="005939CE">
        <w:rPr>
          <w:rFonts w:ascii="Times New Roman" w:hAnsi="Times New Roman" w:cs="Times New Roman"/>
          <w:sz w:val="24"/>
          <w:szCs w:val="24"/>
        </w:rPr>
        <w:t xml:space="preserve"> Comunale n.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39CE">
        <w:rPr>
          <w:rFonts w:ascii="Times New Roman" w:hAnsi="Times New Roman" w:cs="Times New Roman"/>
          <w:sz w:val="24"/>
          <w:szCs w:val="24"/>
        </w:rPr>
        <w:t xml:space="preserve"> del 02.01.2020, con la quale viene approvato il piano esecutivo di gestione 2020-2022 - Parte finanziaria </w:t>
      </w:r>
      <w:r w:rsidRPr="005939CE">
        <w:rPr>
          <w:rFonts w:ascii="Times New Roman" w:hAnsi="Times New Roman" w:cs="Times New Roman"/>
          <w:spacing w:val="-3"/>
          <w:sz w:val="24"/>
          <w:szCs w:val="24"/>
        </w:rPr>
        <w:t>e successivi atti di variazione;</w:t>
      </w:r>
    </w:p>
    <w:bookmarkEnd w:id="0"/>
    <w:p w14:paraId="071810C9" w14:textId="796D8513" w:rsidR="005939CE" w:rsidRDefault="005939CE" w:rsidP="00593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45CF5" w14:textId="4AA8EF29" w:rsidR="009D4BC8" w:rsidRDefault="009D4BC8" w:rsidP="002A0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l’articolo 163 del </w:t>
      </w:r>
      <w:proofErr w:type="spellStart"/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267/2000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 </w:t>
      </w: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punto 8 del Principio contabile applicato alla contabilità finanziaria </w:t>
      </w:r>
      <w:proofErr w:type="spellStart"/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szCs w:val="24"/>
        </w:rPr>
        <w:t xml:space="preserve"> </w:t>
      </w: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4/2 al </w:t>
      </w:r>
      <w:proofErr w:type="spellStart"/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118/2011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 quali nel disciplinare le modalità ed i limiti dell’esercizio provvisorio</w:t>
      </w:r>
      <w:r w:rsidR="002A014B">
        <w:rPr>
          <w:rFonts w:ascii="Times New Roman" w:eastAsia="Times New Roman" w:hAnsi="Times New Roman" w:cs="Times New Roman"/>
          <w:color w:val="000000"/>
          <w:sz w:val="24"/>
          <w:szCs w:val="24"/>
        </w:rPr>
        <w:t>, stabiliscono che:</w:t>
      </w:r>
    </w:p>
    <w:p w14:paraId="699A8FAC" w14:textId="77777777" w:rsidR="002A014B" w:rsidRPr="00BF22E5" w:rsidRDefault="002A014B" w:rsidP="002A0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• possono essere impegnate solo spese correnti e le eventuali spese correlate, riguardanti le</w:t>
      </w:r>
      <w:r>
        <w:rPr>
          <w:szCs w:val="24"/>
        </w:rPr>
        <w:t xml:space="preserve"> </w:t>
      </w: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partite di giro, mentre per le spese in conto capitale sono ammesse solamente i lavori</w:t>
      </w:r>
      <w:r>
        <w:rPr>
          <w:szCs w:val="24"/>
        </w:rPr>
        <w:t xml:space="preserve"> </w:t>
      </w: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pubblici o altri interventi di somma urgenza;</w:t>
      </w:r>
    </w:p>
    <w:p w14:paraId="698699B1" w14:textId="77777777" w:rsidR="002A014B" w:rsidRPr="00BF22E5" w:rsidRDefault="002A014B" w:rsidP="002A0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• possono essere assunti mensilmente, per ciascun programma, impegni di spesa corrente</w:t>
      </w:r>
      <w:r>
        <w:rPr>
          <w:szCs w:val="24"/>
        </w:rPr>
        <w:t xml:space="preserve"> </w:t>
      </w: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non superiori a un dodicesimo delle somme complessivamente previste, al netto delle</w:t>
      </w:r>
      <w:r>
        <w:rPr>
          <w:szCs w:val="24"/>
        </w:rPr>
        <w:t xml:space="preserve"> </w:t>
      </w: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somme già impegnate negli esercizi precedenti e di quelle accantonate nel fondo</w:t>
      </w:r>
      <w:r>
        <w:rPr>
          <w:szCs w:val="24"/>
        </w:rPr>
        <w:t xml:space="preserve"> </w:t>
      </w: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pluriennale vincolato;</w:t>
      </w:r>
    </w:p>
    <w:p w14:paraId="6BC2FDD4" w14:textId="77777777" w:rsidR="002A014B" w:rsidRPr="00BF22E5" w:rsidRDefault="002A014B" w:rsidP="002A0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• sono escluse dai limiti dei dodicesimi le spese tassativamente regolate dalla legge o non</w:t>
      </w:r>
      <w:r>
        <w:rPr>
          <w:szCs w:val="24"/>
        </w:rPr>
        <w:t xml:space="preserve"> </w:t>
      </w:r>
      <w:r w:rsidRPr="00BF22E5">
        <w:rPr>
          <w:rFonts w:ascii="Times New Roman" w:eastAsia="Times New Roman" w:hAnsi="Times New Roman" w:cs="Times New Roman"/>
          <w:color w:val="000000"/>
          <w:sz w:val="24"/>
          <w:szCs w:val="24"/>
        </w:rPr>
        <w:t>suscettibili di frazionamento in dodicesimi;</w:t>
      </w:r>
    </w:p>
    <w:p w14:paraId="4DEBDC73" w14:textId="77777777" w:rsidR="002A014B" w:rsidRDefault="002A014B" w:rsidP="00593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1FA91" w14:textId="5B4E4433" w:rsidR="002A014B" w:rsidRPr="005939CE" w:rsidRDefault="002A014B" w:rsidP="002A0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="008939DB"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</w:t>
      </w:r>
      <w:r w:rsidR="005939CE"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939CE" w:rsidRPr="005939CE">
        <w:rPr>
          <w:rFonts w:ascii="Times New Roman" w:hAnsi="Times New Roman" w:cs="Times New Roman"/>
          <w:sz w:val="24"/>
          <w:szCs w:val="24"/>
        </w:rPr>
        <w:t>ai sensi dell'art. 163 del TUEL 267/2000,</w:t>
      </w:r>
      <w:r w:rsidR="008939DB"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spesa impegnata con il presente atto </w:t>
      </w:r>
      <w:r w:rsidR="00005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……………. </w:t>
      </w:r>
      <w:r w:rsidRPr="005939CE">
        <w:rPr>
          <w:rFonts w:ascii="Times New Roman" w:hAnsi="Times New Roman" w:cs="Times New Roman"/>
          <w:sz w:val="24"/>
          <w:szCs w:val="24"/>
          <w:highlight w:val="yellow"/>
        </w:rPr>
        <w:t xml:space="preserve">SCEGLIERE LA FATTISPECIE DI </w:t>
      </w:r>
      <w:r w:rsidRPr="002A014B">
        <w:rPr>
          <w:rFonts w:ascii="Times New Roman" w:hAnsi="Times New Roman" w:cs="Times New Roman"/>
          <w:sz w:val="24"/>
          <w:szCs w:val="24"/>
          <w:highlight w:val="yellow"/>
        </w:rPr>
        <w:t>INTERESSE tra quelle proposte sotto</w:t>
      </w:r>
    </w:p>
    <w:p w14:paraId="7F5D62C2" w14:textId="63462ED7" w:rsidR="008939DB" w:rsidRPr="005939CE" w:rsidRDefault="008939DB" w:rsidP="00593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51408B" w14:textId="2DAE45F8" w:rsidR="008939DB" w:rsidRPr="005939CE" w:rsidRDefault="00005DE0" w:rsidP="00593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005DE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rientra</w:t>
      </w:r>
      <w:r w:rsidRPr="00005DE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8939DB" w:rsidRPr="00005DE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nel </w:t>
      </w:r>
      <w:r w:rsidR="008939DB" w:rsidRPr="005939C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limite di un dodicesimo degli stanziamenti previsti </w:t>
      </w:r>
    </w:p>
    <w:p w14:paraId="793CC576" w14:textId="77777777" w:rsidR="008939DB" w:rsidRPr="005939CE" w:rsidRDefault="008939DB" w:rsidP="00593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non rientra nei limiti dei dodicesimi, in quanto si tratta di spesa tassativamente regolata dalla legge</w:t>
      </w:r>
    </w:p>
    <w:p w14:paraId="21E53C78" w14:textId="558EC7C2" w:rsidR="008939DB" w:rsidRPr="005939CE" w:rsidRDefault="008939DB" w:rsidP="00593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non rientra nei limiti dei dodicesimi, in quanto si tratta di spesa non suscettibile di frazionamento in dodicesimi</w:t>
      </w:r>
      <w:r w:rsidRPr="005939CE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61923045" w14:textId="632B7D05" w:rsidR="008939DB" w:rsidRPr="005939CE" w:rsidRDefault="008939DB" w:rsidP="00593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1B278" w14:textId="002FCADD" w:rsidR="005939CE" w:rsidRDefault="005939CE" w:rsidP="00593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A342C" w14:textId="2BB8A78A" w:rsidR="002A014B" w:rsidRDefault="002A014B" w:rsidP="002A014B">
      <w:pPr>
        <w:pStyle w:val="Preformattato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 DA INSERIRE NEL DISPOSITIVO</w:t>
      </w:r>
    </w:p>
    <w:p w14:paraId="44861FAE" w14:textId="582893A9" w:rsidR="002A014B" w:rsidRDefault="002A014B" w:rsidP="00593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E48D0" w14:textId="77777777" w:rsidR="001267D4" w:rsidRPr="005939CE" w:rsidRDefault="002A014B" w:rsidP="00126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dare atto</w:t>
      </w:r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</w:t>
      </w:r>
      <w:r w:rsidR="001267D4"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267D4" w:rsidRPr="005939CE">
        <w:rPr>
          <w:rFonts w:ascii="Times New Roman" w:hAnsi="Times New Roman" w:cs="Times New Roman"/>
          <w:sz w:val="24"/>
          <w:szCs w:val="24"/>
        </w:rPr>
        <w:t>ai sensi dell'art. 163 del TUEL 267/2000,</w:t>
      </w:r>
      <w:r w:rsidR="001267D4" w:rsidRPr="00593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spesa impegnata con il presente atto </w:t>
      </w:r>
      <w:r w:rsidR="00126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……………. </w:t>
      </w:r>
      <w:r w:rsidR="001267D4" w:rsidRPr="005939CE">
        <w:rPr>
          <w:rFonts w:ascii="Times New Roman" w:hAnsi="Times New Roman" w:cs="Times New Roman"/>
          <w:sz w:val="24"/>
          <w:szCs w:val="24"/>
          <w:highlight w:val="yellow"/>
        </w:rPr>
        <w:t xml:space="preserve">SCEGLIERE LA FATTISPECIE DI </w:t>
      </w:r>
      <w:r w:rsidR="001267D4" w:rsidRPr="002A014B">
        <w:rPr>
          <w:rFonts w:ascii="Times New Roman" w:hAnsi="Times New Roman" w:cs="Times New Roman"/>
          <w:sz w:val="24"/>
          <w:szCs w:val="24"/>
          <w:highlight w:val="yellow"/>
        </w:rPr>
        <w:t>INTERESSE tra quelle proposte sotto</w:t>
      </w:r>
    </w:p>
    <w:p w14:paraId="724C4261" w14:textId="77777777" w:rsidR="001267D4" w:rsidRPr="005939CE" w:rsidRDefault="001267D4" w:rsidP="001267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9B75E0" w14:textId="77777777" w:rsidR="001267D4" w:rsidRPr="005939CE" w:rsidRDefault="001267D4" w:rsidP="00126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005DE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rientra nel </w:t>
      </w:r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limite di un dodicesimo degli stanziamenti previsti </w:t>
      </w:r>
    </w:p>
    <w:p w14:paraId="51060F48" w14:textId="77777777" w:rsidR="001267D4" w:rsidRPr="005939CE" w:rsidRDefault="001267D4" w:rsidP="00126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non rientra nei limiti dei dodicesimi, in quanto si tratta di spesa tassativamente regolata dalla legge</w:t>
      </w:r>
    </w:p>
    <w:p w14:paraId="70850F33" w14:textId="77777777" w:rsidR="001267D4" w:rsidRPr="005939CE" w:rsidRDefault="001267D4" w:rsidP="00126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C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non rientra nei limiti dei dodicesimi, in quanto si tratta di spesa non suscettibile di frazionamento in dodicesimi</w:t>
      </w:r>
      <w:r w:rsidRPr="005939CE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27B5AAB7" w14:textId="46F3D99C" w:rsidR="002A014B" w:rsidRPr="005939CE" w:rsidRDefault="002A014B" w:rsidP="00126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014B" w:rsidRPr="005939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B326A"/>
    <w:multiLevelType w:val="hybridMultilevel"/>
    <w:tmpl w:val="B4BE7088"/>
    <w:lvl w:ilvl="0" w:tplc="1A50B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DB"/>
    <w:rsid w:val="00005DE0"/>
    <w:rsid w:val="001267D4"/>
    <w:rsid w:val="002A014B"/>
    <w:rsid w:val="00441875"/>
    <w:rsid w:val="005939CE"/>
    <w:rsid w:val="008939DB"/>
    <w:rsid w:val="009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4A7D"/>
  <w15:chartTrackingRefBased/>
  <w15:docId w15:val="{D623EBEC-9B35-4C14-9C5A-8E43978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893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939D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939CE"/>
    <w:pPr>
      <w:spacing w:after="0" w:line="240" w:lineRule="auto"/>
      <w:ind w:left="720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3</cp:revision>
  <dcterms:created xsi:type="dcterms:W3CDTF">2021-01-04T12:10:00Z</dcterms:created>
  <dcterms:modified xsi:type="dcterms:W3CDTF">2021-01-04T14:17:00Z</dcterms:modified>
</cp:coreProperties>
</file>